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15 (Data protection);</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17 (When you can share information);</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11.4 (When CCS or the Buyer can end this contract) and 11.6 (What happens if the contract ends) of this Contract;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tab/>
      <w:t xml:space="preserve">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6"/>
    <w:bookmarkEnd w:id="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qWlEOAHb8F5ldrvjT2uMJkfkrA==">AMUW2mXICTZLjqTWYIMmUVH1iR+b0t8SQ/mPEW1F2p/22HkZioVbK508sRn4eLk+TViY/iRuNVYtWMl7mkWWhdp2/QmWkArrXhownNBDhjHk9qhSBHL9vTUdYh5Qz75I3iGbmfHRJyZuOJJtK/KWU1NNqaYWKKNRNfY2YEvfk970Rsy44GACPNkYqwVLArQIboS1fQnZJNcklpCaqsi8F4E+g3bYqG9Y9A==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2021-01-15T17:57:00Z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